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886E24">
      <w:pPr>
        <w:pStyle w:val="Sraopastraipa"/>
        <w:jc w:val="center"/>
        <w:rPr>
          <w:b/>
        </w:rPr>
      </w:pPr>
      <w:r>
        <w:rPr>
          <w:b/>
        </w:rPr>
        <w:t>Silpnos bazės titravimas stipria rūgštimi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886E24" w:rsidRPr="007969BA">
          <w:rPr>
            <w:rStyle w:val="Hipersaitas"/>
            <w:lang w:eastAsia="lt-LT"/>
          </w:rPr>
          <w:t>https://www.geogebra.org/m/bxzdd5ka</w:t>
        </w:r>
      </w:hyperlink>
    </w:p>
    <w:p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>Skirtingiems mokiniams ar jų grupėms galima nurodyti skirtingus eksperimento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3356CF" w:rsidRPr="003F720F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0340E7" w:rsidRPr="003F720F">
        <w:t xml:space="preserve">irinkti kelis eksperimento parametrus: </w:t>
      </w:r>
      <w:r w:rsidR="00886E24">
        <w:t>rūgšties koncentraciją</w:t>
      </w:r>
      <w:r w:rsidR="000340E7" w:rsidRPr="003F720F">
        <w:t xml:space="preserve">, </w:t>
      </w:r>
      <w:r w:rsidR="00886E24">
        <w:t xml:space="preserve">bazės koncentraciją, bazės tūrį, biuretės tūrį, pH matavimo intervalą, titravimo animacijos greitį, ir bazės </w:t>
      </w:r>
      <w:proofErr w:type="spellStart"/>
      <w:r w:rsidR="00886E24">
        <w:t>pKa</w:t>
      </w:r>
      <w:proofErr w:type="spellEnd"/>
      <w:r w:rsidR="00886E24">
        <w:t xml:space="preserve"> vertę.</w:t>
      </w:r>
      <w:r w:rsidR="003C4AFA">
        <w:t xml:space="preserve"> </w:t>
      </w:r>
      <w:r w:rsidR="00481A06">
        <w:t xml:space="preserve">Užduotis sudaryta su prielaida, kad reaguoja </w:t>
      </w:r>
      <w:proofErr w:type="spellStart"/>
      <w:r w:rsidR="00481A06">
        <w:t>vienhidroksilė</w:t>
      </w:r>
      <w:proofErr w:type="spellEnd"/>
      <w:r w:rsidR="00481A06">
        <w:t xml:space="preserve"> bazė su </w:t>
      </w:r>
      <w:proofErr w:type="spellStart"/>
      <w:r w:rsidR="007D64E1">
        <w:t>vienprotonine</w:t>
      </w:r>
      <w:proofErr w:type="spellEnd"/>
      <w:r w:rsidR="007D64E1">
        <w:t xml:space="preserve"> rūgštimi. </w:t>
      </w:r>
      <w:r w:rsidR="003C4AFA">
        <w:t xml:space="preserve">Paspaudus mygtuką „Pradėti“, rūgštis iš biuretės laša į stiklinę su silpna baze. pH matuoklis matuoja gaunamo tirpalo pH ir rezultatai </w:t>
      </w:r>
      <w:r w:rsidR="008D7231">
        <w:t>pateikiami lentelėje. Titravimo animaciją galima sustabdyti paspaudus mygtuką „Sustabdyti“. Paspaudus mygtuką „Atnaujinti“, biuretė užsipildo rūgštimi ir eksperimentą galima pradėti iš naujo.</w:t>
      </w:r>
    </w:p>
    <w:p w:rsidR="004D7910" w:rsidRPr="003F720F" w:rsidRDefault="004D7910" w:rsidP="004D7910">
      <w:pPr>
        <w:spacing w:line="360" w:lineRule="auto"/>
        <w:jc w:val="both"/>
        <w:rPr>
          <w:noProof/>
        </w:rPr>
      </w:pPr>
    </w:p>
    <w:p w:rsidR="004D7910" w:rsidRDefault="003C4AFA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67A808AC" wp14:editId="4A3A2D3B">
            <wp:extent cx="3381469" cy="27509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2556" cy="278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8B62FD" w:rsidP="004D7910">
      <w:pPr>
        <w:spacing w:line="360" w:lineRule="auto"/>
        <w:jc w:val="both"/>
      </w:pPr>
      <w:r>
        <w:t>Paspaudus mygtuką „Rodyti grafiką“, atveriamas grafikas su eksperimento duomenimis, t. y. tirpalo pH priklausomybė nuo pridėtos rūgšties tūrio.</w:t>
      </w:r>
    </w:p>
    <w:p w:rsidR="008B62FD" w:rsidRDefault="008B62FD" w:rsidP="004D7910">
      <w:pPr>
        <w:spacing w:line="360" w:lineRule="auto"/>
        <w:jc w:val="both"/>
      </w:pPr>
      <w:r>
        <w:rPr>
          <w:noProof/>
          <w:lang w:eastAsia="lt-LT"/>
        </w:rPr>
        <w:lastRenderedPageBreak/>
        <w:drawing>
          <wp:inline distT="0" distB="0" distL="0" distR="0" wp14:anchorId="644DB6A8" wp14:editId="39721057">
            <wp:extent cx="4870865" cy="2160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086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8B62FD" w:rsidP="004D7910">
      <w:pPr>
        <w:spacing w:line="360" w:lineRule="auto"/>
        <w:jc w:val="both"/>
      </w:pPr>
    </w:p>
    <w:p w:rsidR="008B62FD" w:rsidRDefault="008B62FD" w:rsidP="004D7910">
      <w:pPr>
        <w:spacing w:line="360" w:lineRule="auto"/>
        <w:jc w:val="both"/>
      </w:pPr>
      <w:r>
        <w:t>Paspaudus mygtuką „Nubrėžti grafiką“, per eksperimentinius taškus nubrėžiama kreivė.</w:t>
      </w:r>
    </w:p>
    <w:p w:rsidR="008B62FD" w:rsidRDefault="008B62FD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3D75D5BB" wp14:editId="39A3BFA7">
            <wp:extent cx="5005550" cy="21600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555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8B62FD" w:rsidP="004D7910">
      <w:pPr>
        <w:spacing w:line="360" w:lineRule="auto"/>
        <w:jc w:val="both"/>
      </w:pPr>
    </w:p>
    <w:p w:rsidR="008B62FD" w:rsidRPr="003F720F" w:rsidRDefault="008B62FD" w:rsidP="004D7910">
      <w:pPr>
        <w:spacing w:line="360" w:lineRule="auto"/>
        <w:jc w:val="both"/>
      </w:pPr>
      <w:r>
        <w:t>Norint sugrįžti į eksperimento langą, reikia spustelėti mygtuką „Atverti eksperimento langą“.</w:t>
      </w:r>
    </w:p>
    <w:p w:rsidR="0029594D" w:rsidRDefault="0029594D">
      <w:pPr>
        <w:suppressAutoHyphens w:val="0"/>
        <w:spacing w:after="160" w:line="247" w:lineRule="auto"/>
      </w:pPr>
      <w:r>
        <w:br w:type="page"/>
      </w:r>
    </w:p>
    <w:p w:rsidR="00712C9C" w:rsidRDefault="00712C9C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lastRenderedPageBreak/>
        <w:t>Savo nuožiūra pateikite mokiniams eksperimento sąlygas. Atlikę eksperimentą, mokiniai turi nubraižyti titravimo kreivę ir pažymėti joje ekvivalentinį tašką.</w:t>
      </w:r>
    </w:p>
    <w:p w:rsidR="00712C9C" w:rsidRDefault="00712C9C" w:rsidP="00712C9C">
      <w:pPr>
        <w:pStyle w:val="Sraopastraipa"/>
        <w:spacing w:line="360" w:lineRule="auto"/>
        <w:ind w:left="357"/>
        <w:jc w:val="both"/>
      </w:pPr>
    </w:p>
    <w:p w:rsidR="003F720F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Kas yra neutralizacijos reakcija?</w:t>
      </w:r>
    </w:p>
    <w:p w:rsidR="00BC775A" w:rsidRPr="008D5969" w:rsidRDefault="008636BC" w:rsidP="00BC775A">
      <w:pPr>
        <w:pStyle w:val="Sraopastraipa"/>
        <w:spacing w:line="360" w:lineRule="auto"/>
        <w:ind w:left="357"/>
        <w:jc w:val="both"/>
        <w:rPr>
          <w:i/>
        </w:rPr>
      </w:pPr>
      <w:r w:rsidRPr="008D5969">
        <w:rPr>
          <w:i/>
          <w:color w:val="222222"/>
          <w:shd w:val="clear" w:color="auto" w:fill="FFFFFF"/>
        </w:rPr>
        <w:t>Reakcija tarp rūgštinės prigimties medžiagos ir bazinės prigimties medži</w:t>
      </w:r>
      <w:bookmarkStart w:id="0" w:name="_GoBack"/>
      <w:bookmarkEnd w:id="0"/>
      <w:r w:rsidRPr="008D5969">
        <w:rPr>
          <w:i/>
          <w:color w:val="222222"/>
          <w:shd w:val="clear" w:color="auto" w:fill="FFFFFF"/>
        </w:rPr>
        <w:t>agos, kai susidaro druska ir vanduo, vadinama neutralizacijos reakcija.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Pasiūlykite silpnos bazės ir stiprios rūgšties neutralizacijos reakcijos pavyzdį.</w:t>
      </w:r>
    </w:p>
    <w:p w:rsidR="00BC775A" w:rsidRDefault="00727749" w:rsidP="00BC775A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NH</w:t>
      </w:r>
      <w:r w:rsidR="00481A06" w:rsidRPr="00481A06">
        <w:rPr>
          <w:i/>
          <w:vertAlign w:val="subscript"/>
        </w:rPr>
        <w:t>4</w:t>
      </w:r>
      <w:r w:rsidR="00481A06">
        <w:rPr>
          <w:i/>
        </w:rPr>
        <w:t>OH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 xml:space="preserve">) + </w:t>
      </w:r>
      <w:proofErr w:type="spellStart"/>
      <w:r>
        <w:rPr>
          <w:i/>
        </w:rPr>
        <w:t>H</w:t>
      </w:r>
      <w:r w:rsidR="00481A06">
        <w:rPr>
          <w:i/>
        </w:rPr>
        <w:t>Cl</w:t>
      </w:r>
      <w:proofErr w:type="spellEnd"/>
      <w:r w:rsidR="00481A06">
        <w:rPr>
          <w:i/>
        </w:rPr>
        <w:t>(</w:t>
      </w:r>
      <w:proofErr w:type="spellStart"/>
      <w:r w:rsidR="00481A06">
        <w:rPr>
          <w:i/>
        </w:rPr>
        <w:t>aq</w:t>
      </w:r>
      <w:proofErr w:type="spellEnd"/>
      <w:r w:rsidR="00481A06">
        <w:rPr>
          <w:i/>
        </w:rPr>
        <w:t>) → NH</w:t>
      </w:r>
      <w:r w:rsidR="00481A06" w:rsidRPr="00481A06">
        <w:rPr>
          <w:i/>
          <w:vertAlign w:val="subscript"/>
        </w:rPr>
        <w:t>4</w:t>
      </w:r>
      <w:r w:rsidR="00481A06">
        <w:rPr>
          <w:i/>
        </w:rPr>
        <w:t>Cl(</w:t>
      </w:r>
      <w:proofErr w:type="spellStart"/>
      <w:r w:rsidR="00481A06">
        <w:rPr>
          <w:i/>
        </w:rPr>
        <w:t>aq</w:t>
      </w:r>
      <w:proofErr w:type="spellEnd"/>
      <w:r w:rsidR="00481A06">
        <w:rPr>
          <w:i/>
        </w:rPr>
        <w:t>) + H</w:t>
      </w:r>
      <w:r w:rsidR="00481A06" w:rsidRPr="00481A06">
        <w:rPr>
          <w:i/>
          <w:vertAlign w:val="subscript"/>
        </w:rPr>
        <w:t>2</w:t>
      </w:r>
      <w:r w:rsidR="00481A06">
        <w:rPr>
          <w:i/>
        </w:rPr>
        <w:t>O(s)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Ką rodo titravimo kreivė</w:t>
      </w:r>
      <w:r w:rsidR="00941502">
        <w:t>, kai silpną bazę titruojame stipria rūgštimi</w:t>
      </w:r>
      <w:r>
        <w:t>?</w:t>
      </w:r>
    </w:p>
    <w:p w:rsidR="00B27569" w:rsidRDefault="00941502" w:rsidP="00B27569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Titravimo kreivė rodo tirpalo pH priklausomybę nuo pridėtos rūgšties tūrio.</w:t>
      </w:r>
    </w:p>
    <w:p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Kas yra ekvivalentinis taškas titravimo kreivėje?</w:t>
      </w:r>
    </w:p>
    <w:p w:rsidR="00BE0F81" w:rsidRDefault="00606C15" w:rsidP="00BE0F81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 xml:space="preserve">Tai taškas, kuriame titruojamosios medžiagos ir </w:t>
      </w:r>
      <w:proofErr w:type="spellStart"/>
      <w:r>
        <w:rPr>
          <w:i/>
        </w:rPr>
        <w:t>titranto</w:t>
      </w:r>
      <w:proofErr w:type="spellEnd"/>
      <w:r>
        <w:rPr>
          <w:i/>
        </w:rPr>
        <w:t xml:space="preserve"> kiekiai yra ekvivalentiški.</w:t>
      </w:r>
    </w:p>
    <w:p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Kodėl, titruojant silpną bazę stipria rūgštimi, ekvivalentinio taško pH nėra lygus 7?</w:t>
      </w:r>
      <w:r w:rsidR="001B7CD7">
        <w:t xml:space="preserve"> Atsakymą pagrįskite užrašydami atitinkamą reakcijos lygtį.</w:t>
      </w:r>
    </w:p>
    <w:p w:rsidR="008D6567" w:rsidRDefault="00606C15" w:rsidP="008D6567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Todėl, kad susidariusi</w:t>
      </w:r>
      <w:r w:rsidR="001B7CD7">
        <w:rPr>
          <w:i/>
        </w:rPr>
        <w:t>os</w:t>
      </w:r>
      <w:r>
        <w:rPr>
          <w:i/>
        </w:rPr>
        <w:t xml:space="preserve"> drusk</w:t>
      </w:r>
      <w:r w:rsidR="001B7CD7">
        <w:rPr>
          <w:i/>
        </w:rPr>
        <w:t xml:space="preserve">os </w:t>
      </w:r>
      <w:proofErr w:type="spellStart"/>
      <w:r w:rsidR="001B7CD7">
        <w:rPr>
          <w:i/>
        </w:rPr>
        <w:t>katijonas</w:t>
      </w:r>
      <w:proofErr w:type="spellEnd"/>
      <w:r>
        <w:rPr>
          <w:i/>
        </w:rPr>
        <w:t xml:space="preserve"> hidrolizuojasi</w:t>
      </w:r>
      <w:r w:rsidR="001B7CD7">
        <w:rPr>
          <w:i/>
        </w:rPr>
        <w:t xml:space="preserve"> ir susidaro vandenilio jonai</w:t>
      </w:r>
      <w:r>
        <w:rPr>
          <w:i/>
        </w:rPr>
        <w:t>.</w:t>
      </w:r>
    </w:p>
    <w:p w:rsidR="001B7CD7" w:rsidRDefault="001B7CD7" w:rsidP="008D6567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NH</w:t>
      </w:r>
      <w:r w:rsidRPr="001B7CD7">
        <w:rPr>
          <w:i/>
          <w:vertAlign w:val="subscript"/>
        </w:rPr>
        <w:t>4</w:t>
      </w:r>
      <w:r w:rsidRPr="001B7CD7">
        <w:rPr>
          <w:i/>
          <w:vertAlign w:val="superscript"/>
        </w:rPr>
        <w:t>+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 + H</w:t>
      </w:r>
      <w:r w:rsidRPr="001B7CD7">
        <w:rPr>
          <w:i/>
          <w:vertAlign w:val="subscript"/>
        </w:rPr>
        <w:t>2</w:t>
      </w:r>
      <w:r>
        <w:rPr>
          <w:i/>
        </w:rPr>
        <w:t>O(s) → NH</w:t>
      </w:r>
      <w:r w:rsidRPr="001B7CD7">
        <w:rPr>
          <w:i/>
          <w:vertAlign w:val="subscript"/>
        </w:rPr>
        <w:t>3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 + H</w:t>
      </w:r>
      <w:r w:rsidRPr="001B7CD7">
        <w:rPr>
          <w:i/>
          <w:vertAlign w:val="subscript"/>
        </w:rPr>
        <w:t>3</w:t>
      </w:r>
      <w:r>
        <w:rPr>
          <w:i/>
        </w:rPr>
        <w:t>O</w:t>
      </w:r>
      <w:r w:rsidRPr="001B7CD7">
        <w:rPr>
          <w:i/>
          <w:vertAlign w:val="superscript"/>
        </w:rPr>
        <w:t>+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</w:t>
      </w:r>
    </w:p>
    <w:p w:rsidR="001B7CD7" w:rsidRDefault="001B7CD7" w:rsidP="008D6567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Arba</w:t>
      </w:r>
    </w:p>
    <w:p w:rsidR="001B7CD7" w:rsidRDefault="001B7CD7" w:rsidP="008D6567">
      <w:pPr>
        <w:pStyle w:val="Sraopastraipa"/>
        <w:spacing w:line="360" w:lineRule="auto"/>
        <w:ind w:left="357"/>
        <w:jc w:val="both"/>
        <w:rPr>
          <w:i/>
        </w:rPr>
      </w:pPr>
      <w:r>
        <w:rPr>
          <w:i/>
        </w:rPr>
        <w:t>NH</w:t>
      </w:r>
      <w:r w:rsidRPr="001B7CD7">
        <w:rPr>
          <w:i/>
          <w:vertAlign w:val="subscript"/>
        </w:rPr>
        <w:t>4</w:t>
      </w:r>
      <w:r w:rsidRPr="001B7CD7">
        <w:rPr>
          <w:i/>
          <w:vertAlign w:val="superscript"/>
        </w:rPr>
        <w:t>+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 → NH</w:t>
      </w:r>
      <w:r w:rsidRPr="001B7CD7">
        <w:rPr>
          <w:i/>
          <w:vertAlign w:val="subscript"/>
        </w:rPr>
        <w:t>3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 + H</w:t>
      </w:r>
      <w:r w:rsidRPr="001B7CD7">
        <w:rPr>
          <w:i/>
          <w:vertAlign w:val="superscript"/>
        </w:rPr>
        <w:t>+</w:t>
      </w:r>
      <w:r>
        <w:rPr>
          <w:i/>
        </w:rPr>
        <w:t>(</w:t>
      </w:r>
      <w:proofErr w:type="spellStart"/>
      <w:r>
        <w:rPr>
          <w:i/>
        </w:rPr>
        <w:t>aq</w:t>
      </w:r>
      <w:proofErr w:type="spellEnd"/>
      <w:r>
        <w:rPr>
          <w:i/>
        </w:rPr>
        <w:t>)</w:t>
      </w:r>
    </w:p>
    <w:p w:rsidR="00E66AC6" w:rsidRPr="00E66AC6" w:rsidRDefault="00E66AC6" w:rsidP="008D6567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651730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Apibūdinkite, kas yra indikatorius.</w:t>
      </w:r>
    </w:p>
    <w:p w:rsidR="003768C3" w:rsidRPr="00742E2A" w:rsidRDefault="001B7CD7" w:rsidP="003768C3">
      <w:pPr>
        <w:pStyle w:val="Sraopastraipa"/>
        <w:spacing w:line="360" w:lineRule="auto"/>
        <w:ind w:left="357"/>
        <w:jc w:val="both"/>
        <w:rPr>
          <w:i/>
        </w:rPr>
      </w:pPr>
      <w:r w:rsidRPr="00742E2A">
        <w:rPr>
          <w:i/>
        </w:rPr>
        <w:t>Tai medžiagos</w:t>
      </w:r>
      <w:r w:rsidR="00742E2A" w:rsidRPr="00742E2A">
        <w:rPr>
          <w:i/>
        </w:rPr>
        <w:t>, keičiančios spalvą rūgštiniuose ir šarminiuose tirpaluose.</w:t>
      </w:r>
    </w:p>
    <w:p w:rsidR="00E66AC6" w:rsidRDefault="00E66AC6" w:rsidP="003768C3">
      <w:pPr>
        <w:pStyle w:val="Sraopastraipa"/>
        <w:spacing w:line="360" w:lineRule="auto"/>
        <w:ind w:left="357"/>
        <w:jc w:val="both"/>
      </w:pPr>
    </w:p>
    <w:p w:rsidR="00E66AC6" w:rsidRDefault="00651730" w:rsidP="00524D56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Kodėl, titruojant silpną bazę stipria rūgštimi, svarbu pasirinkti tinkamą indikatorių</w:t>
      </w:r>
      <w:r w:rsidR="00524D56">
        <w:t>?</w:t>
      </w:r>
    </w:p>
    <w:p w:rsidR="003036EF" w:rsidRPr="003036EF" w:rsidRDefault="003036EF" w:rsidP="003036EF">
      <w:pPr>
        <w:pStyle w:val="Sraopastraipa"/>
        <w:spacing w:line="360" w:lineRule="auto"/>
        <w:ind w:left="357"/>
        <w:jc w:val="both"/>
        <w:rPr>
          <w:i/>
        </w:rPr>
      </w:pPr>
      <w:r w:rsidRPr="003036EF">
        <w:rPr>
          <w:i/>
        </w:rPr>
        <w:t>Šiuo atveju svarbu pasirinkti indikatorių, keičiantį spalvą rūgštinėje terpėje. Pasirinkus indikatorių, keičiantį spalvą šarminėje arba neutralioje terpėje, titravimo rezultatai bus netikslūs.</w:t>
      </w:r>
    </w:p>
    <w:sectPr w:rsidR="003036EF" w:rsidRPr="003036EF">
      <w:footerReference w:type="default" r:id="rId11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06" w:rsidRDefault="00837506">
      <w:r>
        <w:separator/>
      </w:r>
    </w:p>
  </w:endnote>
  <w:endnote w:type="continuationSeparator" w:id="0">
    <w:p w:rsidR="00837506" w:rsidRDefault="0083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64" w:rsidRDefault="00910B64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06" w:rsidRDefault="00837506">
      <w:r>
        <w:rPr>
          <w:color w:val="000000"/>
        </w:rPr>
        <w:separator/>
      </w:r>
    </w:p>
  </w:footnote>
  <w:footnote w:type="continuationSeparator" w:id="0">
    <w:p w:rsidR="00837506" w:rsidRDefault="0083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65CDA"/>
    <w:rsid w:val="0013038A"/>
    <w:rsid w:val="001936FE"/>
    <w:rsid w:val="001B7CD7"/>
    <w:rsid w:val="001C61B7"/>
    <w:rsid w:val="00245EB7"/>
    <w:rsid w:val="002940E5"/>
    <w:rsid w:val="0029594D"/>
    <w:rsid w:val="003036EF"/>
    <w:rsid w:val="003356CF"/>
    <w:rsid w:val="003768C3"/>
    <w:rsid w:val="003C4AFA"/>
    <w:rsid w:val="003F720F"/>
    <w:rsid w:val="00415A32"/>
    <w:rsid w:val="00452237"/>
    <w:rsid w:val="00481A06"/>
    <w:rsid w:val="004D7910"/>
    <w:rsid w:val="00524D56"/>
    <w:rsid w:val="00535023"/>
    <w:rsid w:val="005601F3"/>
    <w:rsid w:val="00606C15"/>
    <w:rsid w:val="00651730"/>
    <w:rsid w:val="00712C9C"/>
    <w:rsid w:val="00727749"/>
    <w:rsid w:val="00742E2A"/>
    <w:rsid w:val="00753742"/>
    <w:rsid w:val="007D64E1"/>
    <w:rsid w:val="00837506"/>
    <w:rsid w:val="008636BC"/>
    <w:rsid w:val="00886E24"/>
    <w:rsid w:val="008B62FD"/>
    <w:rsid w:val="008D5969"/>
    <w:rsid w:val="008D6567"/>
    <w:rsid w:val="008D7231"/>
    <w:rsid w:val="00910B64"/>
    <w:rsid w:val="00941502"/>
    <w:rsid w:val="00A37635"/>
    <w:rsid w:val="00B27569"/>
    <w:rsid w:val="00BA7D02"/>
    <w:rsid w:val="00BC775A"/>
    <w:rsid w:val="00BE0F81"/>
    <w:rsid w:val="00CB7887"/>
    <w:rsid w:val="00CD6E74"/>
    <w:rsid w:val="00D05B4D"/>
    <w:rsid w:val="00DD4584"/>
    <w:rsid w:val="00E354AC"/>
    <w:rsid w:val="00E66AC6"/>
    <w:rsid w:val="00E84A7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bxzdd5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D02C4-87CA-4A52-A60A-2058D41FD6AA}"/>
</file>

<file path=customXml/itemProps2.xml><?xml version="1.0" encoding="utf-8"?>
<ds:datastoreItem xmlns:ds="http://schemas.openxmlformats.org/officeDocument/2006/customXml" ds:itemID="{3821824D-697C-43C8-9A89-90F2C44FF92A}"/>
</file>

<file path=customXml/itemProps3.xml><?xml version="1.0" encoding="utf-8"?>
<ds:datastoreItem xmlns:ds="http://schemas.openxmlformats.org/officeDocument/2006/customXml" ds:itemID="{4E3CBF62-034B-441A-87E6-E80B002E9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16</cp:revision>
  <dcterms:created xsi:type="dcterms:W3CDTF">2024-08-05T09:08:00Z</dcterms:created>
  <dcterms:modified xsi:type="dcterms:W3CDTF">2024-11-04T05:36:00Z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